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3A23B7E">
      <w:pPr>
        <w:spacing w:before="0" w:after="0" w:line="264" w:lineRule="auto"/>
        <w:ind w:left="120"/>
        <w:jc w:val="both"/>
      </w:pPr>
      <w:bookmarkStart w:id="0" w:name="block-56880744"/>
      <w:r>
        <w:rPr>
          <w:rFonts w:ascii="Times New Roman" w:hAnsi="Times New Roman"/>
          <w:b/>
          <w:i w:val="0"/>
          <w:color w:val="000000"/>
          <w:sz w:val="28"/>
        </w:rPr>
        <w:t>ПОЯСНИТЕЛЬНАЯ ЗАПИСКА</w:t>
      </w:r>
    </w:p>
    <w:p w14:paraId="198FFC56">
      <w:pPr>
        <w:spacing w:before="0" w:after="0" w:line="264" w:lineRule="auto"/>
        <w:ind w:left="120"/>
        <w:jc w:val="both"/>
      </w:pPr>
    </w:p>
    <w:p w14:paraId="458FCB83">
      <w:pPr>
        <w:spacing w:before="0" w:after="0" w:line="264" w:lineRule="auto"/>
        <w:ind w:firstLine="600"/>
        <w:jc w:val="both"/>
        <w:rPr>
          <w:sz w:val="24"/>
          <w:szCs w:val="24"/>
        </w:rPr>
      </w:pPr>
      <w:r>
        <w:rPr>
          <w:rFonts w:ascii="Times New Roman" w:hAnsi="Times New Roman"/>
          <w:b w:val="0"/>
          <w:i w:val="0"/>
          <w:color w:val="000000"/>
          <w:sz w:val="24"/>
          <w:szCs w:val="24"/>
        </w:rPr>
        <w:t>Алгебра является одним из опорных курсов основного общего образования: она обеспечивает изучение других дисциплин, как естественно-научного, так и гуманитарного циклов, её освоение необходимо для продолжения образования и в повседневной жизни. Развитие у обучающихся научных представлений о происхождении и сущности алгебраических абстракций, способе отражения математической наукой явлений и процессов в природе и обществе, роли математического моделирования в научном познании и в практике способствует формированию научного мировоззрения и качеств мышления, необходимых для адаптации в современном цифровом обществе. Изучение алгебры обеспечивает развитие умения наблюдать, сравнивать, находить закономерности, требует критичности мышления, способности аргументированно обосновывать свои действия и выводы, формулировать утверждения. Освоение курса алгебры обеспечивает развитие логического мышления обучающихся: они используют дедуктивные и индуктивные рассуждения, обобщение и конкретизацию, абстрагирование и аналогию. Обучение алгебре предполагает значительный объём самостоятельной деятельности обучающихся, поэтому самостоятельное решение задач является реализацией деятельностного принципа обучения.</w:t>
      </w:r>
    </w:p>
    <w:p w14:paraId="1030B105">
      <w:pPr>
        <w:spacing w:before="0" w:after="0" w:line="264" w:lineRule="auto"/>
        <w:ind w:firstLine="600"/>
        <w:jc w:val="both"/>
        <w:rPr>
          <w:sz w:val="24"/>
          <w:szCs w:val="24"/>
        </w:rPr>
      </w:pPr>
      <w:r>
        <w:rPr>
          <w:rFonts w:ascii="Times New Roman" w:hAnsi="Times New Roman"/>
          <w:b w:val="0"/>
          <w:i w:val="0"/>
          <w:color w:val="000000"/>
          <w:sz w:val="24"/>
          <w:szCs w:val="24"/>
        </w:rPr>
        <w:t>В структуре программы учебного курса «Алгебра» для основного общего образования основное место занимают содержательно-методические линии: «Числа и вычисления», «Алгебраические выражения», «Уравнения и неравенства», «Функции». Каждая из этих содержательно-методических линий развивается на протяжении трёх лет изучения курса, взаимодействуя с другими его линиями. В ходе изучения учебного курса обучающимся приходится логически рассуждать, использовать теоретико-множественный язык. В связи с этим в программу учебного курса «Алгебра» включены некоторые основы логики, представленные во всех основных разделах математического образования и способствующие овладению обучающимися основ универсального математического языка. Содержательной и структурной особенностью учебного курса «Алгебра» является его интегрированный характер.</w:t>
      </w:r>
    </w:p>
    <w:p w14:paraId="21318D67">
      <w:pPr>
        <w:spacing w:before="0" w:after="0" w:line="264" w:lineRule="auto"/>
        <w:ind w:firstLine="600"/>
        <w:jc w:val="both"/>
        <w:rPr>
          <w:sz w:val="24"/>
          <w:szCs w:val="24"/>
        </w:rPr>
      </w:pPr>
      <w:r>
        <w:rPr>
          <w:rFonts w:ascii="Times New Roman" w:hAnsi="Times New Roman"/>
          <w:b w:val="0"/>
          <w:i w:val="0"/>
          <w:color w:val="000000"/>
          <w:sz w:val="24"/>
          <w:szCs w:val="24"/>
        </w:rPr>
        <w:t>Содержание линии «Числа и вычисления» служит основой для дальнейшего изучения математики, способствует развитию у обучающихся логического мышления, формированию умения пользоваться алгоритмами, а также приобретению практических навыков, необходимых для повседневной жизни. Развитие понятия о числе на уровне основного общего образования связано с рациональными и иррациональными числами, формированием представлений о действительном числе. Завершение освоения числовой линии отнесено к среднему общему образованию.</w:t>
      </w:r>
    </w:p>
    <w:p w14:paraId="0E1CD54F">
      <w:pPr>
        <w:spacing w:before="0" w:after="0" w:line="264" w:lineRule="auto"/>
        <w:ind w:firstLine="600"/>
        <w:jc w:val="both"/>
        <w:rPr>
          <w:sz w:val="24"/>
          <w:szCs w:val="24"/>
        </w:rPr>
      </w:pPr>
      <w:r>
        <w:rPr>
          <w:rFonts w:ascii="Times New Roman" w:hAnsi="Times New Roman"/>
          <w:b w:val="0"/>
          <w:i w:val="0"/>
          <w:color w:val="000000"/>
          <w:sz w:val="24"/>
          <w:szCs w:val="24"/>
        </w:rPr>
        <w:t>Содержание двух алгебраических линий – «Алгебраические выражения» и «Уравнения и неравенства» способствует формированию у обучающихся математического аппарата, необходимого для решения задач математики, смежных предметов и практико-ориентированных задач. На уровне основного общего образования учебный материал группируется вокруг рациональных выражений. Алгебра демонстрирует значение математики как языка для построения математических моделей, описания процессов и явлений реального мира. В задачи обучения алгебре входят также дальнейшее развитие алгоритмического мышления, необходимого, в частности, для освоения курса информатики, и овладение навыками дедуктивных рассуждений. Преобразование символьных форм способствует развитию воображения, способностей к математическому творчеству.</w:t>
      </w:r>
    </w:p>
    <w:p w14:paraId="3E580A15">
      <w:pPr>
        <w:spacing w:before="0" w:after="0" w:line="264" w:lineRule="auto"/>
        <w:ind w:firstLine="600"/>
        <w:jc w:val="both"/>
        <w:rPr>
          <w:sz w:val="24"/>
          <w:szCs w:val="24"/>
        </w:rPr>
      </w:pPr>
      <w:r>
        <w:rPr>
          <w:rFonts w:ascii="Times New Roman" w:hAnsi="Times New Roman"/>
          <w:b w:val="0"/>
          <w:i w:val="0"/>
          <w:color w:val="000000"/>
          <w:sz w:val="24"/>
          <w:szCs w:val="24"/>
        </w:rPr>
        <w:t>Содержание функционально-графической линии нацелено на получение обучающимися знаний о функциях как важнейшей математической модели для описания и исследования разнообразных процессов и явлений в природе и обществе. Изучение материала способствует развитию у обучающихся умения использовать различные выразительные средства языка математики – словесные, символические, графические, вносит вклад в формирование представлений о роли математики в развитии цивилизации и культуры.</w:t>
      </w:r>
    </w:p>
    <w:p w14:paraId="5534B424">
      <w:pPr>
        <w:spacing w:before="0" w:after="0" w:line="264" w:lineRule="auto"/>
        <w:ind w:firstLine="600"/>
        <w:jc w:val="both"/>
        <w:rPr>
          <w:rFonts w:ascii="Times New Roman" w:hAnsi="Times New Roman"/>
          <w:b w:val="0"/>
          <w:i w:val="0"/>
          <w:color w:val="000000"/>
          <w:sz w:val="24"/>
          <w:szCs w:val="24"/>
        </w:rPr>
      </w:pPr>
      <w:r>
        <w:rPr>
          <w:rFonts w:ascii="Times New Roman" w:hAnsi="Times New Roman"/>
          <w:b w:val="0"/>
          <w:i w:val="0"/>
          <w:color w:val="000000"/>
          <w:sz w:val="24"/>
          <w:szCs w:val="24"/>
        </w:rPr>
        <w:t>Согласно учебному плану в 7–9 классах изучается учебный курс «Алгебра», который включает следующие основные разделы содержания: «Числа и вычисления», «Алгебраические выражения», «Уравнения и неравенства», «Функции».</w:t>
      </w:r>
    </w:p>
    <w:p w14:paraId="24FC5A2E">
      <w:pPr>
        <w:spacing w:line="100" w:lineRule="atLeast"/>
        <w:jc w:val="center"/>
        <w:rPr>
          <w:rFonts w:ascii="Times New Roman" w:hAnsi="Times New Roman" w:eastAsia="Calibri" w:cs="Times New Roman"/>
          <w:b/>
          <w:sz w:val="24"/>
          <w:szCs w:val="24"/>
        </w:rPr>
      </w:pPr>
      <w:bookmarkStart w:id="1" w:name="9012e5c9-2e66-40e9-9799-caf6f2595164"/>
    </w:p>
    <w:p w14:paraId="2B9B92F0">
      <w:pPr>
        <w:spacing w:line="100" w:lineRule="atLeast"/>
        <w:jc w:val="center"/>
        <w:rPr>
          <w:rFonts w:ascii="Times New Roman" w:hAnsi="Times New Roman" w:eastAsia="Calibri" w:cs="Times New Roman"/>
          <w:sz w:val="24"/>
          <w:szCs w:val="24"/>
        </w:rPr>
      </w:pPr>
      <w:r>
        <w:rPr>
          <w:rFonts w:ascii="Times New Roman" w:hAnsi="Times New Roman" w:eastAsia="Calibri" w:cs="Times New Roman"/>
          <w:b/>
          <w:sz w:val="24"/>
          <w:szCs w:val="24"/>
        </w:rPr>
        <w:t>Место курса в учебном плане</w:t>
      </w:r>
    </w:p>
    <w:p w14:paraId="08E1A476">
      <w:pPr>
        <w:spacing w:line="100" w:lineRule="atLeast"/>
        <w:ind w:firstLine="709"/>
        <w:jc w:val="both"/>
        <w:rPr>
          <w:rFonts w:ascii="Times New Roman" w:hAnsi="Times New Roman" w:eastAsia="Calibri" w:cs="Times New Roman"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Рабочая программа</w:t>
      </w:r>
      <w:r>
        <w:rPr>
          <w:rFonts w:hint="default" w:ascii="Times New Roman" w:hAnsi="Times New Roman" w:cs="Times New Roman"/>
          <w:bCs/>
          <w:sz w:val="24"/>
          <w:szCs w:val="24"/>
          <w:lang w:val="ru-RU"/>
        </w:rPr>
        <w:t xml:space="preserve">, отведённая для изучения алгебры в 7 классе </w:t>
      </w:r>
      <w:r>
        <w:rPr>
          <w:rFonts w:ascii="Times New Roman" w:hAnsi="Times New Roman" w:cs="Times New Roman"/>
          <w:bCs/>
          <w:sz w:val="24"/>
          <w:szCs w:val="24"/>
        </w:rPr>
        <w:t xml:space="preserve">рассчитана на </w:t>
      </w:r>
      <w:r>
        <w:rPr>
          <w:rFonts w:hint="default" w:ascii="Times New Roman" w:hAnsi="Times New Roman" w:cs="Times New Roman"/>
          <w:bCs/>
          <w:sz w:val="24"/>
          <w:szCs w:val="24"/>
          <w:lang w:val="ru-RU"/>
        </w:rPr>
        <w:t>102</w:t>
      </w:r>
      <w:r>
        <w:rPr>
          <w:rFonts w:ascii="Times New Roman" w:hAnsi="Times New Roman" w:cs="Times New Roman"/>
          <w:bCs/>
          <w:sz w:val="24"/>
          <w:szCs w:val="24"/>
        </w:rPr>
        <w:t xml:space="preserve"> час</w:t>
      </w:r>
      <w:r>
        <w:rPr>
          <w:rFonts w:ascii="Times New Roman" w:hAnsi="Times New Roman" w:cs="Times New Roman"/>
          <w:bCs/>
          <w:sz w:val="24"/>
          <w:szCs w:val="24"/>
          <w:lang w:val="ru-RU"/>
        </w:rPr>
        <w:t>а</w:t>
      </w:r>
      <w:r>
        <w:rPr>
          <w:rFonts w:ascii="Times New Roman" w:hAnsi="Times New Roman" w:cs="Times New Roman"/>
          <w:bCs/>
          <w:sz w:val="24"/>
          <w:szCs w:val="24"/>
        </w:rPr>
        <w:t xml:space="preserve"> в год, </w:t>
      </w:r>
      <w:r>
        <w:rPr>
          <w:rFonts w:hint="default" w:ascii="Times New Roman" w:hAnsi="Times New Roman" w:cs="Times New Roman"/>
          <w:bCs/>
          <w:sz w:val="24"/>
          <w:szCs w:val="24"/>
          <w:lang w:val="ru-RU"/>
        </w:rPr>
        <w:t>3</w:t>
      </w:r>
      <w:r>
        <w:rPr>
          <w:rFonts w:ascii="Times New Roman" w:hAnsi="Times New Roman" w:cs="Times New Roman"/>
          <w:bCs/>
          <w:sz w:val="24"/>
          <w:szCs w:val="24"/>
        </w:rPr>
        <w:t xml:space="preserve"> час</w:t>
      </w:r>
      <w:r>
        <w:rPr>
          <w:rFonts w:ascii="Times New Roman" w:hAnsi="Times New Roman" w:cs="Times New Roman"/>
          <w:bCs/>
          <w:sz w:val="24"/>
          <w:szCs w:val="24"/>
          <w:lang w:val="ru-RU"/>
        </w:rPr>
        <w:t>а</w:t>
      </w:r>
      <w:r>
        <w:rPr>
          <w:rFonts w:ascii="Times New Roman" w:hAnsi="Times New Roman" w:cs="Times New Roman"/>
          <w:bCs/>
          <w:sz w:val="24"/>
          <w:szCs w:val="24"/>
        </w:rPr>
        <w:t xml:space="preserve"> в неделю. В соответствии с учебным планом МБОУ Киселевской СОШ им. Н.В. Попова, в связи с фактическим количеством учебных дней с учетом календарного учебного графика и расписанием занятий</w:t>
      </w:r>
      <w:r>
        <w:rPr>
          <w:rFonts w:hint="default" w:ascii="Times New Roman" w:hAnsi="Times New Roman" w:cs="Times New Roman"/>
          <w:bCs/>
          <w:sz w:val="24"/>
          <w:szCs w:val="24"/>
          <w:lang w:val="ru-RU"/>
        </w:rPr>
        <w:t xml:space="preserve"> (1 мая - праздничный день)</w:t>
      </w:r>
      <w:r>
        <w:rPr>
          <w:rFonts w:ascii="Times New Roman" w:hAnsi="Times New Roman" w:cs="Times New Roman"/>
          <w:bCs/>
          <w:sz w:val="24"/>
          <w:szCs w:val="24"/>
        </w:rPr>
        <w:t xml:space="preserve"> обеспечено выполнение рабочей программы в полном объеме за счет уплотнения. Фактическое количество часов за год</w:t>
      </w:r>
      <w:r>
        <w:rPr>
          <w:rFonts w:hint="default" w:ascii="Times New Roman" w:hAnsi="Times New Roman" w:cs="Times New Roman"/>
          <w:bCs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bCs/>
          <w:sz w:val="24"/>
          <w:szCs w:val="24"/>
        </w:rPr>
        <w:t xml:space="preserve">– </w:t>
      </w:r>
      <w:r>
        <w:rPr>
          <w:rFonts w:hint="default" w:ascii="Times New Roman" w:hAnsi="Times New Roman" w:cs="Times New Roman"/>
          <w:bCs/>
          <w:sz w:val="24"/>
          <w:szCs w:val="24"/>
          <w:lang w:val="ru-RU"/>
        </w:rPr>
        <w:t>101</w:t>
      </w:r>
      <w:r>
        <w:rPr>
          <w:rFonts w:ascii="Times New Roman" w:hAnsi="Times New Roman" w:cs="Times New Roman"/>
          <w:bCs/>
          <w:sz w:val="24"/>
          <w:szCs w:val="24"/>
        </w:rPr>
        <w:t xml:space="preserve"> час.</w:t>
      </w:r>
    </w:p>
    <w:bookmarkEnd w:id="1"/>
    <w:p w14:paraId="3B8CAB6C">
      <w:pPr>
        <w:spacing w:before="0" w:after="0" w:line="264" w:lineRule="auto"/>
        <w:ind w:firstLine="600"/>
        <w:jc w:val="both"/>
        <w:rPr>
          <w:rFonts w:ascii="Times New Roman" w:hAnsi="Times New Roman"/>
          <w:b w:val="0"/>
          <w:i w:val="0"/>
          <w:color w:val="000000"/>
          <w:sz w:val="24"/>
          <w:szCs w:val="24"/>
        </w:rPr>
      </w:pPr>
    </w:p>
    <w:p w14:paraId="62B4B895">
      <w:bookmarkStart w:id="2" w:name="block-56880744"/>
    </w:p>
    <w:p w14:paraId="50500ADD">
      <w:pPr>
        <w:sectPr>
          <w:pgSz w:w="11906" w:h="16383"/>
          <w:cols w:space="720" w:num="1"/>
        </w:sectPr>
      </w:pPr>
    </w:p>
    <w:bookmarkEnd w:id="0"/>
    <w:bookmarkEnd w:id="2"/>
    <w:p w14:paraId="0F522E4C">
      <w:bookmarkStart w:id="3" w:name="_GoBack"/>
      <w:bookmarkEnd w:id="3"/>
    </w:p>
    <w:sectPr>
      <w:pgSz w:w="11906" w:h="16838"/>
      <w:pgMar w:top="1440" w:right="1800" w:bottom="1440" w:left="1800" w:header="720" w:footer="720" w:gutter="0"/>
      <w:cols w:space="720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黑体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76" w:lineRule="auto"/>
      </w:pPr>
      <w:r>
        <w:separator/>
      </w:r>
    </w:p>
  </w:footnote>
  <w:footnote w:type="continuationSeparator" w:id="1">
    <w:p>
      <w:pPr>
        <w:spacing w:before="0" w:after="0" w:line="276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embedSystemFonts/>
  <w:bordersDoNotSurroundHeader w:val="1"/>
  <w:bordersDoNotSurroundFooter w:val="1"/>
  <w:documentProtection w:enforcement="0"/>
  <w:defaultTabStop w:val="708"/>
  <w:drawingGridVerticalSpacing w:val="156"/>
  <w:displayHorizontalDrawingGridEvery w:val="0"/>
  <w:displayVerticalDrawingGridEvery w:val="2"/>
  <w:characterSpacingControl w:val="doNotCompress"/>
  <w:footnotePr>
    <w:footnote w:id="0"/>
    <w:footnote w:id="1"/>
  </w:footnotePr>
  <w:endnotePr>
    <w:endnote w:id="0"/>
    <w:endnote w:id="1"/>
  </w:endnotePr>
  <w:compat>
    <w:spaceForUL/>
    <w:doNotLeaveBackslashAlone/>
    <w:ulTrailSpace/>
    <w:doNotExpandShiftReturn/>
    <w:adjustLineHeightInTabl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551953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</w:latentStyles>
  <w:style w:type="paragraph" w:default="1" w:styleId="1">
    <w:name w:val="Normal"/>
    <w:qFormat/>
    <w:uiPriority w:val="0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  <w:style w:type="character" w:default="1" w:styleId="2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Office_12.2.0.22549_F1E327BC-269C-435d-A152-05C5408002CA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2025-09-10T12:54:08Z</dcterms:created>
  <dc:creator>1</dc:creator>
  <cp:lastModifiedBy>1</cp:lastModifiedBy>
  <dcterms:modified xsi:type="dcterms:W3CDTF">2025-09-10T12:54:13Z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1049-12.2.0.22549</vt:lpwstr>
  </property>
  <property fmtid="{D5CDD505-2E9C-101B-9397-08002B2CF9AE}" pid="3" name="ICV">
    <vt:lpwstr>85DE07C240BC4C70AC9D21BC4BE632A9_12</vt:lpwstr>
  </property>
</Properties>
</file>